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>
          <w:b/>
          <w:bCs/>
        </w:rPr>
        <w:t>M</w:t>
      </w:r>
      <w:r>
        <w:rPr>
          <w:b/>
          <w:bCs/>
        </w:rPr>
        <w:t>ATRIZ</w:t>
      </w:r>
      <w:r>
        <w:rPr>
          <w:b/>
          <w:bCs/>
        </w:rPr>
        <w:t xml:space="preserve"> DE GERENCIAMENTO DE RISCOS</w:t>
      </w:r>
    </w:p>
    <w:p>
      <w:pPr>
        <w:pStyle w:val="Normal"/>
        <w:rPr/>
      </w:pPr>
      <w:r>
        <w:rPr>
          <w:b/>
          <w:bCs/>
        </w:rPr>
        <w:t>CSU DURVAL NICOLAU – IMPLANTAÇÃO DE QUADRA POLIESPORTIVA COBERTA, VESTIÁRIOS, GUARITAS E ESTACIONAMENTO</w:t>
      </w:r>
    </w:p>
    <w:p>
      <w:pPr>
        <w:pStyle w:val="Normal"/>
        <w:rPr/>
      </w:pPr>
      <w:r>
        <w:rPr>
          <w:b/>
          <w:bCs/>
        </w:rPr>
        <w:t>Objetivo</w:t>
      </w:r>
      <w:r>
        <w:rPr/>
        <w:t xml:space="preserve"> Identificar, analisar qualitativamente, responder e monitorar os riscos inerentes à execução da obra, conforme arts. 22, §3º, e 46, §4º, da Lei nº 14.133/2021, promovendo equilíbrio econômico-financeiro, eficiência e alocação adequada de responsabilidades no regime de contratação semi-integrada.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  <w:bCs/>
        </w:rPr>
        <w:t>Metodologia adotada</w:t>
      </w:r>
    </w:p>
    <w:p>
      <w:pPr>
        <w:pStyle w:val="Normal"/>
        <w:numPr>
          <w:ilvl w:val="0"/>
          <w:numId w:val="1"/>
        </w:numPr>
        <w:rPr/>
      </w:pPr>
      <w:r>
        <w:rPr/>
        <w:t>Identificação: baseada em experiência da equipe técnica, anteprojeto, sondagens preliminares e histórico de obras similares.</w:t>
      </w:r>
    </w:p>
    <w:p>
      <w:pPr>
        <w:pStyle w:val="Normal"/>
        <w:numPr>
          <w:ilvl w:val="0"/>
          <w:numId w:val="1"/>
        </w:numPr>
        <w:rPr/>
      </w:pPr>
      <w:r>
        <w:rPr/>
        <w:t>Análise qualitativa: probabilidade (Baixa / Média / Alta) × Impacto (Baixo / Médio / Alto).</w:t>
      </w:r>
    </w:p>
    <w:p>
      <w:pPr>
        <w:pStyle w:val="Normal"/>
        <w:numPr>
          <w:ilvl w:val="0"/>
          <w:numId w:val="1"/>
        </w:numPr>
        <w:rPr/>
      </w:pPr>
      <w:r>
        <w:rPr/>
        <w:t>Estratégia de resposta: Evitar / Mitigar / Transferir / Aceitar.</w:t>
      </w:r>
    </w:p>
    <w:p>
      <w:pPr>
        <w:pStyle w:val="Normal"/>
        <w:numPr>
          <w:ilvl w:val="0"/>
          <w:numId w:val="1"/>
        </w:numPr>
        <w:rPr/>
      </w:pPr>
      <w:r>
        <w:rPr/>
        <w:t>Monitoramento: mensal pela fiscalização e contratada, com atualização da matriz quando necessário.</w:t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>
          <w:b/>
          <w:bCs/>
        </w:rPr>
        <w:t>Matriz de Riscos</w:t>
      </w:r>
    </w:p>
    <w:tbl>
      <w:tblPr>
        <w:tblW w:w="14004" w:type="dxa"/>
        <w:jc w:val="left"/>
        <w:tblInd w:w="4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390"/>
        <w:gridCol w:w="1425"/>
        <w:gridCol w:w="2490"/>
        <w:gridCol w:w="1545"/>
        <w:gridCol w:w="960"/>
        <w:gridCol w:w="1590"/>
        <w:gridCol w:w="2370"/>
        <w:gridCol w:w="1530"/>
        <w:gridCol w:w="1704"/>
      </w:tblGrid>
      <w:tr>
        <w:trPr>
          <w:tblHeader w:val="true"/>
          <w:cantSplit w:val="true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b/>
                <w:bCs/>
              </w:rPr>
            </w:pPr>
            <w:r>
              <w:rPr>
                <w:b/>
                <w:bCs/>
              </w:rPr>
              <w:t>Nº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b/>
                <w:bCs/>
              </w:rPr>
            </w:pPr>
            <w:r>
              <w:rPr>
                <w:b/>
                <w:bCs/>
              </w:rPr>
              <w:t>Risco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b/>
                <w:bCs/>
              </w:rPr>
            </w:pPr>
            <w:r>
              <w:rPr>
                <w:b/>
                <w:bCs/>
              </w:rPr>
              <w:t>Descrição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b/>
                <w:bCs/>
              </w:rPr>
            </w:pPr>
            <w:r>
              <w:rPr>
                <w:b/>
                <w:bCs/>
              </w:rPr>
              <w:t>Probabilidade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b/>
                <w:bCs/>
              </w:rPr>
            </w:pPr>
            <w:r>
              <w:rPr>
                <w:b/>
                <w:bCs/>
              </w:rPr>
              <w:t>Impacto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b/>
                <w:bCs/>
              </w:rPr>
            </w:pPr>
            <w:r>
              <w:rPr>
                <w:b/>
                <w:bCs/>
              </w:rPr>
              <w:t>Alocação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b/>
                <w:bCs/>
              </w:rPr>
            </w:pPr>
            <w:r>
              <w:rPr>
                <w:b/>
                <w:bCs/>
              </w:rPr>
              <w:t>Estratégia de Resposta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b/>
                <w:bCs/>
              </w:rPr>
            </w:pPr>
            <w:r>
              <w:rPr>
                <w:b/>
                <w:bCs/>
              </w:rPr>
              <w:t>Responsável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b/>
                <w:bCs/>
              </w:rPr>
            </w:pPr>
            <w:r>
              <w:rPr>
                <w:b/>
                <w:bCs/>
              </w:rPr>
              <w:t>Monitoramento</w:t>
            </w:r>
          </w:p>
        </w:tc>
      </w:tr>
      <w:tr>
        <w:trPr>
          <w:cantSplit w:val="true"/>
        </w:trPr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1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Projetos executivos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Necessidade de projetos além do previsto ou inadequação em qualidade, quantidade ou custos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Média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Alto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Contratada</w:t>
            </w:r>
          </w:p>
        </w:tc>
        <w:tc>
          <w:tcPr>
            <w:tcW w:w="23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Mitigar: elaboração interna + seguro risco de engenharia; correção às próprias custas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Contratada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Mensal</w:t>
            </w:r>
          </w:p>
        </w:tc>
      </w:tr>
      <w:tr>
        <w:trPr>
          <w:cantSplit w:val="true"/>
        </w:trPr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2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Adequações durante demolição e reconstrução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Incompatibilidades em sistemas existentes (elétrico, hidráulico, estrutural)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Alta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Alto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Contratada</w:t>
            </w:r>
          </w:p>
        </w:tc>
        <w:tc>
          <w:tcPr>
            <w:tcW w:w="23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Mitigar: vistoria prévia detalhada + plano de demolição + reserva para ajustes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Contratada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Semanal durante demolição</w:t>
            </w:r>
          </w:p>
        </w:tc>
      </w:tr>
      <w:tr>
        <w:trPr>
          <w:cantSplit w:val="true"/>
        </w:trPr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3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Prazo de elaboração dos projetos executivos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Ultrapassagem do prazo previsto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Média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Alto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Contratada</w:t>
            </w:r>
          </w:p>
        </w:tc>
        <w:tc>
          <w:tcPr>
            <w:tcW w:w="23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Mitigar: aplicação de penalidades + priorização no cronograma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Contratada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Mensal</w:t>
            </w:r>
          </w:p>
        </w:tc>
      </w:tr>
      <w:tr>
        <w:trPr>
          <w:cantSplit w:val="true"/>
        </w:trPr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4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Documenta-ção e seguros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Não apresentação de apólice de seguro ou documentos obrigatórios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Baixa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Médio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Contratada</w:t>
            </w:r>
          </w:p>
        </w:tc>
        <w:tc>
          <w:tcPr>
            <w:tcW w:w="23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Mitigar: aplicação de penalidades + exigência prévia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Contratada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Inicial + mensal</w:t>
            </w:r>
          </w:p>
        </w:tc>
      </w:tr>
      <w:tr>
        <w:trPr>
          <w:cantSplit w:val="true"/>
        </w:trPr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5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Demolições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Estruturas instáveis, reforços ocultos ou resíduos inesperados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Alta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Alto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Contratada</w:t>
            </w:r>
          </w:p>
        </w:tc>
        <w:tc>
          <w:tcPr>
            <w:tcW w:w="23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Mitigar: vistoria prévia + plano de demolição + destinação correta de resíduos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Contratada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Durante execução</w:t>
            </w:r>
          </w:p>
        </w:tc>
      </w:tr>
      <w:tr>
        <w:trPr>
          <w:cantSplit w:val="true"/>
        </w:trPr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6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Fundações e solo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Condições geotécnicas piores que o previsto (baixa capacidade de suporte)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Alta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Alto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Contratada</w:t>
            </w:r>
          </w:p>
        </w:tc>
        <w:tc>
          <w:tcPr>
            <w:tcW w:w="23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Transferir: seguro risco de engenharia + sondagens complementares pela contratada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Contratada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Durante sondagem e fundação</w:t>
            </w:r>
          </w:p>
        </w:tc>
      </w:tr>
      <w:tr>
        <w:trPr>
          <w:cantSplit w:val="true"/>
        </w:trPr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7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Licenças e aprovações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Atraso na obtenção de alvarás, bombeiros, vigilância sanitária etc.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Média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Alto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Contratada</w:t>
            </w:r>
          </w:p>
        </w:tc>
        <w:tc>
          <w:tcPr>
            <w:tcW w:w="23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Mitigar: protocolo antecipado + consultas prévias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Contratada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Mensal</w:t>
            </w:r>
          </w:p>
        </w:tc>
      </w:tr>
      <w:tr>
        <w:trPr>
          <w:cantSplit w:val="true"/>
        </w:trPr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8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Execução da obra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Erros, defeitos ou eventos que impeçam prazo/custo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Média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Alto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Contratada</w:t>
            </w:r>
          </w:p>
        </w:tc>
        <w:tc>
          <w:tcPr>
            <w:tcW w:w="23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Mitigar: controle tecnológico + seguro risco de engenharia + penalidades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Contratada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Semanal</w:t>
            </w:r>
          </w:p>
        </w:tc>
      </w:tr>
      <w:tr>
        <w:trPr>
          <w:cantSplit w:val="true"/>
        </w:trPr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9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Alteração da legislação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Mudanças legais que exijam adequações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Baixa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Médio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Compartilhado</w:t>
            </w:r>
          </w:p>
        </w:tc>
        <w:tc>
          <w:tcPr>
            <w:tcW w:w="23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Aceitar/Mitigar: aditivo para reequilíbrio quando cabível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Administração / Contratada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Conforme ocorrência</w:t>
            </w:r>
          </w:p>
        </w:tc>
      </w:tr>
      <w:tr>
        <w:trPr>
          <w:cantSplit w:val="true"/>
        </w:trPr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10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Caso fortuito ou força maior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Chuvas intensas, enxurradas ou eventos naturais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Média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Médio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Compartilhado</w:t>
            </w:r>
          </w:p>
        </w:tc>
        <w:tc>
          <w:tcPr>
            <w:tcW w:w="23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Mitigar: plano de contingência sazonal + seguro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Contratada / Administração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Mensal</w:t>
            </w:r>
          </w:p>
        </w:tc>
      </w:tr>
      <w:tr>
        <w:trPr>
          <w:cantSplit w:val="true"/>
        </w:trPr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11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Atraso na liberação do local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Administração não libera área no prazo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Baixa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Alto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Administração</w:t>
            </w:r>
          </w:p>
        </w:tc>
        <w:tc>
          <w:tcPr>
            <w:tcW w:w="23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Aceitar: liberação formal no prazo contratual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Administração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Inicial</w:t>
            </w:r>
          </w:p>
        </w:tc>
      </w:tr>
      <w:tr>
        <w:trPr>
          <w:cantSplit w:val="true"/>
        </w:trPr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12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Alteração de escopo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Ajustes solicitados pela Administração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Baixa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Médio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Administração</w:t>
            </w:r>
          </w:p>
        </w:tc>
        <w:tc>
          <w:tcPr>
            <w:tcW w:w="23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Mitigar: aditivo com base em SINAPI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Administração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Conforme solicitação</w:t>
            </w:r>
          </w:p>
        </w:tc>
      </w:tr>
      <w:tr>
        <w:trPr>
          <w:cantSplit w:val="true"/>
        </w:trPr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13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Falha de comunicação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Retrabalho por deficiências de comunicação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Baixa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Médio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Compartilhado</w:t>
            </w:r>
          </w:p>
        </w:tc>
        <w:tc>
          <w:tcPr>
            <w:tcW w:w="23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Mitigar: canais formais (diário de obra, e-mail, ofícios)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Administração / Contratada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Contínuo</w:t>
            </w:r>
          </w:p>
        </w:tc>
      </w:tr>
      <w:tr>
        <w:trPr>
          <w:cantSplit w:val="true"/>
        </w:trPr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14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Qualidade dos insumos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Materiais fora de especificação ou estocagem inadequada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Média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Alto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Contratada</w:t>
            </w:r>
          </w:p>
        </w:tc>
        <w:tc>
          <w:tcPr>
            <w:tcW w:w="23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Mitigar: controle tecnológico obrigatório + seguro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Contratada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Contínuo</w:t>
            </w:r>
          </w:p>
        </w:tc>
      </w:tr>
      <w:tr>
        <w:trPr>
          <w:cantSplit w:val="true"/>
        </w:trPr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15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Acidentes de trabalho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Ocorrências com empregados da contratada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Média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Alto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Contratada</w:t>
            </w:r>
          </w:p>
        </w:tc>
        <w:tc>
          <w:tcPr>
            <w:tcW w:w="23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Transferir: seguro de engenharia + plano de segurança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Contratada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Contínuo</w:t>
            </w:r>
          </w:p>
        </w:tc>
      </w:tr>
      <w:tr>
        <w:trPr>
          <w:cantSplit w:val="true"/>
        </w:trPr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16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Danos a terceiros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Danos a vizinhos ou pessoas durante execução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Baixa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Alto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Contratada</w:t>
            </w:r>
          </w:p>
        </w:tc>
        <w:tc>
          <w:tcPr>
            <w:tcW w:w="23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Transferir: seguro risco de engenharia + sinalização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Contratada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Contínuo</w:t>
            </w:r>
          </w:p>
        </w:tc>
      </w:tr>
      <w:tr>
        <w:trPr>
          <w:cantSplit w:val="true"/>
        </w:trPr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17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Problemas financeiros da contratada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Fluxo de caixa comprometido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Baixa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Alto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Contratada</w:t>
            </w:r>
          </w:p>
        </w:tc>
        <w:tc>
          <w:tcPr>
            <w:tcW w:w="23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Transferir: seguro risco de engenharia + cláusula de rescisão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Contratada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Mensal</w:t>
            </w:r>
          </w:p>
        </w:tc>
      </w:tr>
      <w:tr>
        <w:trPr>
          <w:cantSplit w:val="true"/>
        </w:trPr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18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Inadimplên-cia da Administra-ção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Atraso ou falta de pagamento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Baixa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Alto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Administração</w:t>
            </w:r>
          </w:p>
        </w:tc>
        <w:tc>
          <w:tcPr>
            <w:tcW w:w="23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Aceitar: cláusula de suspensão após 90 dias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Administração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Mensal</w:t>
            </w:r>
          </w:p>
        </w:tc>
      </w:tr>
      <w:tr>
        <w:trPr>
          <w:cantSplit w:val="true"/>
        </w:trPr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19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Greves / paralisações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Atrasos por movimentos trabalhistas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Baixa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Médio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Contratada</w:t>
            </w:r>
          </w:p>
        </w:tc>
        <w:tc>
          <w:tcPr>
            <w:tcW w:w="23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Mitigar: seguro risco de engenharia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Contratada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Conforme ocorrência</w:t>
            </w:r>
          </w:p>
        </w:tc>
      </w:tr>
      <w:tr>
        <w:trPr>
          <w:cantSplit w:val="true"/>
        </w:trPr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20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Não cumprimen-to de crono-grama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Atraso parcial ou total na entrega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Média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Alto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Contratada</w:t>
            </w:r>
          </w:p>
        </w:tc>
        <w:tc>
          <w:tcPr>
            <w:tcW w:w="23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Mitigar: penalidades + seguro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Contratada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78" w:before="0" w:after="160"/>
              <w:jc w:val="left"/>
              <w:rPr/>
            </w:pPr>
            <w:r>
              <w:rPr/>
              <w:t>Mensal</w:t>
            </w:r>
          </w:p>
        </w:tc>
      </w:tr>
    </w:tbl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  <w:t>Seguros obrigatórios</w:t>
      </w:r>
    </w:p>
    <w:p>
      <w:pPr>
        <w:pStyle w:val="Normal"/>
        <w:numPr>
          <w:ilvl w:val="0"/>
          <w:numId w:val="2"/>
        </w:numPr>
        <w:rPr/>
      </w:pPr>
      <w:r>
        <w:rPr/>
        <w:t>Seguro de risco de engenharia (cobertura total da obra).</w:t>
      </w:r>
    </w:p>
    <w:p>
      <w:pPr>
        <w:pStyle w:val="Normal"/>
        <w:numPr>
          <w:ilvl w:val="0"/>
          <w:numId w:val="2"/>
        </w:numPr>
        <w:rPr/>
      </w:pPr>
      <w:r>
        <w:rPr/>
        <w:t>Seguro de responsabilidade civil por danos a terceiros.</w:t>
      </w:r>
    </w:p>
    <w:p>
      <w:pPr>
        <w:pStyle w:val="Normal"/>
        <w:numPr>
          <w:ilvl w:val="0"/>
          <w:numId w:val="2"/>
        </w:numPr>
        <w:rPr/>
      </w:pPr>
      <w:r>
        <w:rPr/>
        <w:t>Seguro de acidentes do trabalho e vida coletiva.</w:t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  <w:t>Monitoramento geral</w:t>
      </w:r>
    </w:p>
    <w:p>
      <w:pPr>
        <w:pStyle w:val="Normal"/>
        <w:rPr>
          <w:b w:val="false"/>
          <w:bCs w:val="false"/>
        </w:rPr>
      </w:pPr>
      <w:r>
        <w:rPr>
          <w:b w:val="false"/>
          <w:bCs w:val="false"/>
        </w:rPr>
        <w:t>A matriz será revisada mensalmente em reuniões de acompanhamento. Eventos não previstos serão tratados conforme cláusulas de reequilíbrio econômico-financeiro (art. 123 e 124 da Lei nº 14.133/2021).</w:t>
      </w:r>
    </w:p>
    <w:p>
      <w:pPr>
        <w:pStyle w:val="Normal"/>
        <w:spacing w:lineRule="exact" w:line="320" w:before="0" w:after="0"/>
        <w:ind w:firstLine="709"/>
        <w:jc w:val="right"/>
        <w:rPr>
          <w:b w:val="false"/>
          <w:bCs w:val="false"/>
        </w:rPr>
      </w:pPr>
      <w:r>
        <w:rPr>
          <w:b w:val="false"/>
          <w:bCs w:val="false"/>
        </w:rPr>
        <w:t>São João da Boa Vista, 27 de fevereiro de 2026</w:t>
      </w:r>
    </w:p>
    <w:p>
      <w:pPr>
        <w:pStyle w:val="Normal"/>
        <w:spacing w:lineRule="exact" w:line="320" w:before="0" w:after="0"/>
        <w:ind w:firstLine="709"/>
        <w:rPr/>
      </w:pPr>
      <w:r>
        <w:rPr/>
      </w:r>
    </w:p>
    <w:p>
      <w:pPr>
        <w:pStyle w:val="Normal"/>
        <w:spacing w:lineRule="exact" w:line="320" w:before="0" w:after="0"/>
        <w:ind w:firstLine="709"/>
        <w:rPr/>
      </w:pPr>
      <w:r>
        <w:rPr/>
      </w:r>
    </w:p>
    <w:p>
      <w:pPr>
        <w:pStyle w:val="Normal"/>
        <w:spacing w:lineRule="exact" w:line="320" w:before="0" w:after="0"/>
        <w:rPr/>
      </w:pPr>
      <w:r>
        <w:rPr/>
      </w:r>
    </w:p>
    <w:p>
      <w:pPr>
        <w:sectPr>
          <w:headerReference w:type="even" r:id="rId2"/>
          <w:headerReference w:type="default" r:id="rId3"/>
          <w:footerReference w:type="even" r:id="rId4"/>
          <w:footerReference w:type="default" r:id="rId5"/>
          <w:type w:val="nextPage"/>
          <w:pgSz w:orient="landscape" w:w="16838" w:h="11906"/>
          <w:pgMar w:left="1417" w:right="1417" w:gutter="0" w:header="1701" w:top="2922" w:footer="567" w:bottom="2064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exact" w:line="320" w:before="0" w:after="0"/>
        <w:jc w:val="center"/>
        <w:rPr/>
      </w:pPr>
      <w:r>
        <w:rPr/>
        <w:t>__________________________________________</w:t>
      </w:r>
    </w:p>
    <w:p>
      <w:pPr>
        <w:pStyle w:val="Normal"/>
        <w:spacing w:lineRule="exact" w:line="320" w:before="0" w:after="0"/>
        <w:jc w:val="center"/>
        <w:rPr/>
      </w:pPr>
      <w:r>
        <w:rPr/>
        <w:t>Peterson Garcia Zenun</w:t>
      </w:r>
    </w:p>
    <w:p>
      <w:pPr>
        <w:pStyle w:val="Normal"/>
        <w:spacing w:lineRule="exact" w:line="320" w:before="0" w:after="0"/>
        <w:jc w:val="center"/>
        <w:rPr/>
      </w:pPr>
      <w:r>
        <w:rPr/>
        <w:t>Engenheiro Civil</w:t>
      </w:r>
    </w:p>
    <w:p>
      <w:pPr>
        <w:pStyle w:val="Normal"/>
        <w:spacing w:lineRule="exact" w:line="320" w:before="0" w:after="0"/>
        <w:jc w:val="center"/>
        <w:rPr/>
      </w:pPr>
      <w:r>
        <w:rPr/>
        <w:t>Departamento de Gestão e Planejamento Urbano</w:t>
      </w:r>
    </w:p>
    <w:p>
      <w:pPr>
        <w:pStyle w:val="Normal"/>
        <w:spacing w:lineRule="exact" w:line="320" w:before="0" w:after="0"/>
        <w:jc w:val="center"/>
        <w:rPr/>
      </w:pPr>
      <w:r>
        <w:rPr/>
      </w:r>
    </w:p>
    <w:p>
      <w:pPr>
        <w:pStyle w:val="Normal"/>
        <w:spacing w:lineRule="exact" w:line="320" w:before="0" w:after="0"/>
        <w:jc w:val="center"/>
        <w:rPr/>
      </w:pPr>
      <w:r>
        <w:rPr/>
        <w:t>__________________________________________</w:t>
      </w:r>
    </w:p>
    <w:p>
      <w:pPr>
        <w:pStyle w:val="Normal"/>
        <w:spacing w:lineRule="exact" w:line="320" w:before="0" w:after="0"/>
        <w:jc w:val="center"/>
        <w:rPr/>
      </w:pPr>
      <w:r>
        <w:rPr/>
        <w:t>Júlio Luís de Almeida Lino</w:t>
      </w:r>
    </w:p>
    <w:p>
      <w:pPr>
        <w:pStyle w:val="Normal"/>
        <w:spacing w:lineRule="exact" w:line="320" w:before="0" w:after="0"/>
        <w:jc w:val="center"/>
        <w:rPr/>
      </w:pPr>
      <w:r>
        <w:rPr/>
        <w:t>Engenheiro Civil</w:t>
      </w:r>
    </w:p>
    <w:p>
      <w:pPr>
        <w:pStyle w:val="Normal"/>
        <w:spacing w:lineRule="exact" w:line="320" w:before="0" w:after="0"/>
        <w:jc w:val="center"/>
        <w:rPr/>
      </w:pPr>
      <w:r>
        <w:rPr/>
        <w:t>Departamento de Gestão e Planejamento Urbano</w:t>
      </w:r>
    </w:p>
    <w:p>
      <w:pPr>
        <w:sectPr>
          <w:type w:val="continuous"/>
          <w:pgSz w:orient="landscape" w:w="16838" w:h="11906"/>
          <w:pgMar w:left="1417" w:right="1417" w:gutter="0" w:header="1701" w:top="2922" w:footer="567" w:bottom="2064"/>
          <w:cols w:num="2" w:space="282" w:equalWidth="true" w:sep="false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exact" w:line="320" w:before="0" w:after="0"/>
        <w:jc w:val="center"/>
        <w:rPr/>
      </w:pPr>
      <w:r>
        <w:rPr/>
      </w:r>
    </w:p>
    <w:p>
      <w:pPr>
        <w:pStyle w:val="Normal"/>
        <w:spacing w:lineRule="exact" w:line="320" w:before="0" w:after="0"/>
        <w:jc w:val="center"/>
        <w:rPr/>
      </w:pPr>
      <w:r>
        <w:rPr/>
      </w:r>
    </w:p>
    <w:p>
      <w:pPr>
        <w:pStyle w:val="Normal"/>
        <w:spacing w:lineRule="exact" w:line="320" w:before="0" w:after="0"/>
        <w:jc w:val="center"/>
        <w:rPr/>
      </w:pPr>
      <w:r>
        <w:rPr/>
      </w:r>
    </w:p>
    <w:p>
      <w:pPr>
        <w:pStyle w:val="Normal"/>
        <w:spacing w:lineRule="exact" w:line="320" w:before="0" w:after="0"/>
        <w:jc w:val="center"/>
        <w:rPr/>
      </w:pPr>
      <w:r>
        <w:rPr/>
      </w:r>
    </w:p>
    <w:p>
      <w:pPr>
        <w:pStyle w:val="Normal"/>
        <w:spacing w:lineRule="exact" w:line="320" w:before="0" w:after="0"/>
        <w:jc w:val="center"/>
        <w:rPr/>
      </w:pPr>
      <w:r>
        <w:rPr/>
        <w:t>__________________________________________</w:t>
      </w:r>
    </w:p>
    <w:p>
      <w:pPr>
        <w:pStyle w:val="Normal"/>
        <w:spacing w:lineRule="exact" w:line="320" w:before="0" w:after="0"/>
        <w:jc w:val="center"/>
        <w:rPr/>
      </w:pPr>
      <w:r>
        <w:rPr/>
        <w:t>Amarildo Duzi Moraes</w:t>
      </w:r>
    </w:p>
    <w:p>
      <w:pPr>
        <w:pStyle w:val="Normal"/>
        <w:spacing w:lineRule="exact" w:line="320" w:before="0" w:after="0"/>
        <w:jc w:val="center"/>
        <w:rPr/>
      </w:pPr>
      <w:r>
        <w:rPr/>
        <w:t>Diretor Departamento de Gestão e Planejamento Urbano</w:t>
      </w:r>
    </w:p>
    <w:p>
      <w:pPr>
        <w:pStyle w:val="Normal"/>
        <w:spacing w:lineRule="exact" w:line="320" w:before="0" w:after="0"/>
        <w:jc w:val="center"/>
        <w:rPr/>
      </w:pPr>
      <w:r>
        <w:rPr/>
        <w:t>Prefeitura Municipal de São João da Boa Vista</w:t>
      </w:r>
    </w:p>
    <w:sectPr>
      <w:type w:val="continuous"/>
      <w:pgSz w:orient="landscape" w:w="16838" w:h="11906"/>
      <w:pgMar w:left="1417" w:right="1417" w:gutter="0" w:header="1701" w:top="2922" w:footer="567" w:bottom="2064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Verdana"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exact" w:line="360" w:before="0" w:after="0"/>
      <w:ind w:left="-283"/>
      <w:jc w:val="left"/>
      <w:rPr>
        <w:sz w:val="16"/>
        <w:szCs w:val="16"/>
      </w:rPr>
    </w:pPr>
    <w:bookmarkStart w:id="0" w:name="PageNumWizard_FOOTER_Estilo_de_página_Pa"/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8</w:t>
    </w:r>
    <w:r>
      <w:rPr>
        <w:sz w:val="16"/>
        <w:szCs w:val="16"/>
      </w:rPr>
      <w:fldChar w:fldCharType="end"/>
    </w:r>
    <w:bookmarkEnd w:id="0"/>
  </w:p>
  <w:p>
    <w:pPr>
      <w:pStyle w:val="Normal"/>
      <w:spacing w:lineRule="exact" w:line="360" w:before="0" w:after="0"/>
      <w:ind w:left="-283"/>
      <w:jc w:val="center"/>
      <w:rPr>
        <w:sz w:val="16"/>
        <w:szCs w:val="16"/>
      </w:rPr>
    </w:pPr>
    <w:r>
      <w:rPr>
        <w:sz w:val="16"/>
        <w:szCs w:val="16"/>
      </w:rPr>
      <w:t xml:space="preserve">Prefeitura Municipal de São João da Boa Vista </w:t>
    </w:r>
  </w:p>
  <w:p>
    <w:pPr>
      <w:pStyle w:val="Normal"/>
      <w:spacing w:lineRule="exact" w:line="360" w:before="0" w:after="0"/>
      <w:ind w:left="-283"/>
      <w:jc w:val="center"/>
      <w:rPr>
        <w:sz w:val="16"/>
        <w:szCs w:val="16"/>
      </w:rPr>
    </w:pPr>
    <w:r>
      <w:rPr>
        <w:sz w:val="16"/>
        <w:szCs w:val="16"/>
      </w:rPr>
      <w:t>Rua: Ana de Oliveira, 27 – Centro – São João da Boa Vista/SP – CEP 13.870-199</w:t>
    </w:r>
  </w:p>
  <w:p>
    <w:pPr>
      <w:pStyle w:val="Normal"/>
      <w:spacing w:lineRule="exact" w:line="360" w:before="0" w:after="0"/>
      <w:jc w:val="center"/>
      <w:rPr/>
    </w:pPr>
    <w:r>
      <w:rPr>
        <w:sz w:val="16"/>
        <w:szCs w:val="16"/>
      </w:rPr>
      <w:t xml:space="preserve">Fone (19) 3631-7704  -  </w:t>
    </w:r>
    <w:hyperlink r:id="rId1">
      <w:r>
        <w:rPr>
          <w:rStyle w:val="Hyperlink"/>
          <w:sz w:val="16"/>
          <w:szCs w:val="16"/>
          <w:lang w:val="en-US"/>
        </w:rPr>
        <w:t>www.saojoao.sp.gov.br</w:t>
      </w:r>
    </w:hyperlink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exact" w:line="360" w:before="0" w:after="0"/>
      <w:ind w:left="-283"/>
      <w:jc w:val="right"/>
      <w:rPr>
        <w:sz w:val="20"/>
        <w:szCs w:val="20"/>
      </w:rPr>
    </w:pPr>
    <w:bookmarkStart w:id="1" w:name="PageNumWizard_FOOTER_Estilo_de_página_P1"/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9</w:t>
    </w:r>
    <w:r>
      <w:rPr>
        <w:sz w:val="20"/>
        <w:szCs w:val="20"/>
      </w:rPr>
      <w:fldChar w:fldCharType="end"/>
    </w:r>
    <w:bookmarkEnd w:id="1"/>
  </w:p>
  <w:p>
    <w:pPr>
      <w:pStyle w:val="Normal"/>
      <w:spacing w:lineRule="exact" w:line="360" w:before="0" w:after="0"/>
      <w:ind w:left="-283"/>
      <w:jc w:val="center"/>
      <w:rPr>
        <w:sz w:val="16"/>
        <w:szCs w:val="16"/>
      </w:rPr>
    </w:pPr>
    <w:r>
      <w:rPr>
        <w:sz w:val="16"/>
        <w:szCs w:val="16"/>
      </w:rPr>
      <w:t xml:space="preserve">Prefeitura Municipal de São João da Boa Vista </w:t>
    </w:r>
  </w:p>
  <w:p>
    <w:pPr>
      <w:pStyle w:val="Normal"/>
      <w:spacing w:lineRule="exact" w:line="360" w:before="0" w:after="0"/>
      <w:ind w:left="-283"/>
      <w:jc w:val="center"/>
      <w:rPr>
        <w:sz w:val="16"/>
        <w:szCs w:val="16"/>
      </w:rPr>
    </w:pPr>
    <w:r>
      <w:rPr>
        <w:sz w:val="16"/>
        <w:szCs w:val="16"/>
      </w:rPr>
      <w:t>Rua: Ana de Oliveira, 27 – Centro – São João da Boa Vista/SP – CEP 13.870-199</w:t>
    </w:r>
  </w:p>
  <w:p>
    <w:pPr>
      <w:pStyle w:val="Normal"/>
      <w:spacing w:lineRule="exact" w:line="360" w:before="0" w:after="0"/>
      <w:jc w:val="center"/>
      <w:rPr/>
    </w:pPr>
    <w:r>
      <w:rPr>
        <w:sz w:val="16"/>
        <w:szCs w:val="16"/>
      </w:rPr>
      <w:t xml:space="preserve">Fone (19) 3631-7704  -  </w:t>
    </w:r>
    <w:hyperlink r:id="rId1">
      <w:r>
        <w:rPr>
          <w:rStyle w:val="Hyperlink"/>
          <w:sz w:val="16"/>
          <w:szCs w:val="16"/>
          <w:lang w:val="en-US"/>
        </w:rPr>
        <w:t>www.saojoao.sp.gov.br</w:t>
      </w:r>
    </w:hyperlink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02"/>
        <w:tab w:val="clear" w:pos="14004"/>
        <w:tab w:val="left" w:pos="1276" w:leader="none"/>
        <w:tab w:val="left" w:pos="1418" w:leader="none"/>
        <w:tab w:val="center" w:pos="4419" w:leader="none"/>
        <w:tab w:val="right" w:pos="8838" w:leader="none"/>
        <w:tab w:val="right" w:pos="9589" w:leader="none"/>
      </w:tabs>
      <w:spacing w:before="0" w:after="160"/>
      <w:ind w:right="-185"/>
      <w:jc w:val="center"/>
      <w:rPr>
        <w:rFonts w:ascii="Times New Roman" w:hAnsi="Times New Roman"/>
        <w:b/>
        <w:bCs/>
      </w:rPr>
    </w:pPr>
    <w:r>
      <w:drawing>
        <wp:anchor distT="0" distB="0" distL="0" distR="0" simplePos="0" relativeHeight="5" behindDoc="1" locked="0" layoutInCell="0" allowOverlap="1">
          <wp:simplePos x="0" y="0"/>
          <wp:positionH relativeFrom="column">
            <wp:posOffset>290830</wp:posOffset>
          </wp:positionH>
          <wp:positionV relativeFrom="paragraph">
            <wp:posOffset>-582295</wp:posOffset>
          </wp:positionV>
          <wp:extent cx="932180" cy="1004570"/>
          <wp:effectExtent l="0" t="0" r="0" b="0"/>
          <wp:wrapSquare wrapText="largest"/>
          <wp:docPr id="1" name="Figura1 Copia 1 Copia 1 Copia 1 Copia 1 Copia 1 Copia 1 Copia 1 Copia 1 C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 Copia 1 Copia 1 Copia 1 Copia 1 Copia 1 Copia 1 Copia 1 Copia 1 C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2180" cy="1004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hAnsi="Verdana"/>
        <w:b/>
        <w:bCs/>
        <w:color w:val="818181"/>
        <w:sz w:val="28"/>
        <w:szCs w:val="28"/>
      </w:rPr>
      <w:t>Prefeitura Municipal de São João da Boa Vista</w:t>
      <w:br/>
    </w:r>
    <w:r>
      <w:rPr>
        <w:rFonts w:eastAsia="Calibri" w:cs="Calibri" w:ascii="Verdana" w:hAnsi="Verdana"/>
        <w:b/>
        <w:bCs/>
        <w:color w:val="818181"/>
        <w:sz w:val="28"/>
      </w:rPr>
      <w:t>Departamento de Gestão e Planejamento Urbano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02"/>
        <w:tab w:val="clear" w:pos="14004"/>
        <w:tab w:val="left" w:pos="1276" w:leader="none"/>
        <w:tab w:val="left" w:pos="1418" w:leader="none"/>
        <w:tab w:val="center" w:pos="4419" w:leader="none"/>
        <w:tab w:val="right" w:pos="8838" w:leader="none"/>
        <w:tab w:val="right" w:pos="9589" w:leader="none"/>
      </w:tabs>
      <w:spacing w:before="0" w:after="160"/>
      <w:ind w:right="-185"/>
      <w:jc w:val="center"/>
      <w:rPr>
        <w:rFonts w:ascii="Times New Roman" w:hAnsi="Times New Roman"/>
        <w:b/>
        <w:bCs/>
      </w:rPr>
    </w:pPr>
    <w:r>
      <w:drawing>
        <wp:anchor distT="0" distB="0" distL="0" distR="0" simplePos="0" relativeHeight="9" behindDoc="1" locked="0" layoutInCell="0" allowOverlap="1">
          <wp:simplePos x="0" y="0"/>
          <wp:positionH relativeFrom="column">
            <wp:posOffset>290830</wp:posOffset>
          </wp:positionH>
          <wp:positionV relativeFrom="paragraph">
            <wp:posOffset>-582295</wp:posOffset>
          </wp:positionV>
          <wp:extent cx="932180" cy="1004570"/>
          <wp:effectExtent l="0" t="0" r="0" b="0"/>
          <wp:wrapSquare wrapText="largest"/>
          <wp:docPr id="2" name="Figur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2180" cy="1004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hAnsi="Verdana"/>
        <w:b/>
        <w:bCs/>
        <w:color w:val="818181"/>
        <w:sz w:val="28"/>
        <w:szCs w:val="28"/>
      </w:rPr>
      <w:t>Prefeitura Municipal de São João da Boa Vista</w:t>
      <w:br/>
    </w:r>
    <w:r>
      <w:rPr>
        <w:rFonts w:eastAsia="Calibri" w:cs="Calibri" w:ascii="Verdana" w:hAnsi="Verdana"/>
        <w:b/>
        <w:bCs/>
        <w:color w:val="818181"/>
        <w:sz w:val="28"/>
      </w:rPr>
      <w:t>Departamento de Gestão e Planejamento Urbano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hyphenationZone w:val="0"/>
  <w:evenAndOddHeaders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8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4"/>
      <w:szCs w:val="24"/>
      <w:lang w:val="pt-BR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Ttulo1Char"/>
    <w:uiPriority w:val="9"/>
    <w:qFormat/>
    <w:rsid w:val="00821485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Ttulo2Char"/>
    <w:uiPriority w:val="9"/>
    <w:semiHidden/>
    <w:unhideWhenUsed/>
    <w:qFormat/>
    <w:rsid w:val="00821485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Ttulo3Char"/>
    <w:uiPriority w:val="9"/>
    <w:semiHidden/>
    <w:unhideWhenUsed/>
    <w:qFormat/>
    <w:rsid w:val="00821485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Ttulo4Char"/>
    <w:uiPriority w:val="9"/>
    <w:semiHidden/>
    <w:unhideWhenUsed/>
    <w:qFormat/>
    <w:rsid w:val="00821485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Ttulo5Char"/>
    <w:uiPriority w:val="9"/>
    <w:semiHidden/>
    <w:unhideWhenUsed/>
    <w:qFormat/>
    <w:rsid w:val="00821485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821485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821485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tulo8Char"/>
    <w:uiPriority w:val="9"/>
    <w:semiHidden/>
    <w:unhideWhenUsed/>
    <w:qFormat/>
    <w:rsid w:val="00821485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tulo9Char"/>
    <w:uiPriority w:val="9"/>
    <w:semiHidden/>
    <w:unhideWhenUsed/>
    <w:qFormat/>
    <w:rsid w:val="00821485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uiPriority w:val="9"/>
    <w:qFormat/>
    <w:rsid w:val="00821485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Ttulo2Char" w:customStyle="1">
    <w:name w:val="Título 2 Char"/>
    <w:basedOn w:val="DefaultParagraphFont"/>
    <w:uiPriority w:val="9"/>
    <w:semiHidden/>
    <w:qFormat/>
    <w:rsid w:val="00821485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Ttulo3Char" w:customStyle="1">
    <w:name w:val="Título 3 Char"/>
    <w:basedOn w:val="DefaultParagraphFont"/>
    <w:uiPriority w:val="9"/>
    <w:semiHidden/>
    <w:qFormat/>
    <w:rsid w:val="00821485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Ttulo4Char" w:customStyle="1">
    <w:name w:val="Título 4 Char"/>
    <w:basedOn w:val="DefaultParagraphFont"/>
    <w:uiPriority w:val="9"/>
    <w:semiHidden/>
    <w:qFormat/>
    <w:rsid w:val="00821485"/>
    <w:rPr>
      <w:rFonts w:eastAsia="" w:cs="" w:cstheme="majorBidi" w:eastAsiaTheme="majorEastAsia"/>
      <w:i/>
      <w:iCs/>
      <w:color w:themeColor="accent1" w:themeShade="bf" w:val="2F5496"/>
    </w:rPr>
  </w:style>
  <w:style w:type="character" w:styleId="Ttulo5Char" w:customStyle="1">
    <w:name w:val="Título 5 Char"/>
    <w:basedOn w:val="DefaultParagraphFont"/>
    <w:uiPriority w:val="9"/>
    <w:semiHidden/>
    <w:qFormat/>
    <w:rsid w:val="00821485"/>
    <w:rPr>
      <w:rFonts w:eastAsia="" w:cs="" w:cstheme="majorBidi" w:eastAsiaTheme="majorEastAsia"/>
      <w:color w:themeColor="accent1" w:themeShade="bf" w:val="2F5496"/>
    </w:rPr>
  </w:style>
  <w:style w:type="character" w:styleId="Ttulo6Char" w:customStyle="1">
    <w:name w:val="Título 6 Char"/>
    <w:basedOn w:val="DefaultParagraphFont"/>
    <w:uiPriority w:val="9"/>
    <w:semiHidden/>
    <w:qFormat/>
    <w:rsid w:val="00821485"/>
    <w:rPr>
      <w:rFonts w:eastAsia="" w:cs="" w:cstheme="majorBidi" w:eastAsiaTheme="majorEastAsia"/>
      <w:i/>
      <w:iCs/>
      <w:color w:themeColor="text1" w:themeTint="a6" w:val="595959"/>
    </w:rPr>
  </w:style>
  <w:style w:type="character" w:styleId="Ttulo7Char" w:customStyle="1">
    <w:name w:val="Título 7 Char"/>
    <w:basedOn w:val="DefaultParagraphFont"/>
    <w:uiPriority w:val="9"/>
    <w:semiHidden/>
    <w:qFormat/>
    <w:rsid w:val="00821485"/>
    <w:rPr>
      <w:rFonts w:eastAsia="" w:cs="" w:cstheme="majorBidi" w:eastAsiaTheme="majorEastAsia"/>
      <w:color w:themeColor="text1" w:themeTint="a6" w:val="595959"/>
    </w:rPr>
  </w:style>
  <w:style w:type="character" w:styleId="Ttulo8Char" w:customStyle="1">
    <w:name w:val="Título 8 Char"/>
    <w:basedOn w:val="DefaultParagraphFont"/>
    <w:uiPriority w:val="9"/>
    <w:semiHidden/>
    <w:qFormat/>
    <w:rsid w:val="00821485"/>
    <w:rPr>
      <w:rFonts w:eastAsia="" w:cs="" w:cstheme="majorBidi" w:eastAsiaTheme="majorEastAsia"/>
      <w:i/>
      <w:iCs/>
      <w:color w:themeColor="text1" w:themeTint="d8" w:val="272727"/>
    </w:rPr>
  </w:style>
  <w:style w:type="character" w:styleId="Ttulo9Char" w:customStyle="1">
    <w:name w:val="Título 9 Char"/>
    <w:basedOn w:val="DefaultParagraphFont"/>
    <w:uiPriority w:val="9"/>
    <w:semiHidden/>
    <w:qFormat/>
    <w:rsid w:val="00821485"/>
    <w:rPr>
      <w:rFonts w:eastAsia="" w:cs="" w:cstheme="majorBidi" w:eastAsiaTheme="majorEastAsia"/>
      <w:color w:themeColor="text1" w:themeTint="d8" w:val="272727"/>
    </w:rPr>
  </w:style>
  <w:style w:type="character" w:styleId="TtuloChar" w:customStyle="1">
    <w:name w:val="Título Char"/>
    <w:basedOn w:val="DefaultParagraphFont"/>
    <w:uiPriority w:val="10"/>
    <w:qFormat/>
    <w:rsid w:val="0082148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har" w:customStyle="1">
    <w:name w:val="Subtítulo Char"/>
    <w:basedOn w:val="DefaultParagraphFont"/>
    <w:uiPriority w:val="11"/>
    <w:qFormat/>
    <w:rsid w:val="00821485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821485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821485"/>
    <w:rPr>
      <w:i/>
      <w:iCs/>
      <w:color w:themeColor="accent1" w:themeShade="bf" w:val="2F5496"/>
    </w:rPr>
  </w:style>
  <w:style w:type="character" w:styleId="CitaoIntensaChar" w:customStyle="1">
    <w:name w:val="Citação Intensa Char"/>
    <w:basedOn w:val="DefaultParagraphFont"/>
    <w:link w:val="IntenseQuote"/>
    <w:uiPriority w:val="30"/>
    <w:qFormat/>
    <w:rsid w:val="00821485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821485"/>
    <w:rPr>
      <w:b/>
      <w:bCs/>
      <w:smallCaps/>
      <w:color w:themeColor="accent1" w:themeShade="bf" w:val="2F5496"/>
      <w:spacing w:val="5"/>
    </w:rPr>
  </w:style>
  <w:style w:type="character" w:styleId="Hyperlink">
    <w:name w:val="Hyperlink"/>
    <w:rPr>
      <w:color w:val="0000FF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 Unicode M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Normal"/>
    <w:link w:val="TtuloChar"/>
    <w:uiPriority w:val="10"/>
    <w:qFormat/>
    <w:rsid w:val="00821485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tuloChar"/>
    <w:uiPriority w:val="11"/>
    <w:qFormat/>
    <w:rsid w:val="00821485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oChar"/>
    <w:uiPriority w:val="29"/>
    <w:qFormat/>
    <w:rsid w:val="00821485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821485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itaoIntensaChar"/>
    <w:uiPriority w:val="30"/>
    <w:qFormat/>
    <w:rsid w:val="008214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Cabealhoerodapuser">
    <w:name w:val="Cabeçalho e rodapé (user)"/>
    <w:basedOn w:val="Normal"/>
    <w:qFormat/>
    <w:pPr>
      <w:suppressLineNumbers/>
      <w:tabs>
        <w:tab w:val="clear" w:pos="708"/>
        <w:tab w:val="center" w:pos="7002" w:leader="none"/>
        <w:tab w:val="right" w:pos="14004" w:leader="none"/>
      </w:tabs>
    </w:pPr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Cabealhoerodapuser"/>
    <w:pPr>
      <w:suppressLineNumbers/>
    </w:pPr>
    <w:rPr/>
  </w:style>
  <w:style w:type="paragraph" w:styleId="Footer">
    <w:name w:val="footer"/>
    <w:basedOn w:val="Cabealhoerodapuser"/>
    <w:pPr>
      <w:suppressLineNumbers/>
    </w:pPr>
    <w:rPr/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://www.saojoao.sp.gov.br/" TargetMode="Externa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http://www.saojoao.sp.gov.br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Application>LibreOffice/25.8.5.2$Windows_X86_64 LibreOffice_project/9c8b85f387cc00a89945a79c9e6239f32e450ac2</Application>
  <AppVersion>15.0000</AppVersion>
  <Pages>8</Pages>
  <Words>815</Words>
  <Characters>5230</Characters>
  <CharactersWithSpaces>5824</CharactersWithSpaces>
  <Paragraphs>227</Paragraphs>
  <Company>PerkedleApps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2026-02-13T17:08:00Z</dcterms:created>
  <dc:creator>Peterson Garcia Zenun</dc:creator>
  <dc:description/>
  <dc:language>pt-BR</dc:language>
  <cp:lastModifiedBy/>
  <dcterms:modified xsi:type="dcterms:W3CDTF">2026-03-13T14:25:00Z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